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宋体" w:hAnsi="宋体" w:eastAsia="宋体"/>
          <w:b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>都柏林甜甜圈经济实践观察</w:t>
      </w:r>
    </w:p>
    <w:p>
      <w:pPr>
        <w:pStyle w:val="Normal"/>
        <w:spacing w:lineRule="auto" w:line="360" w:before="0" w:after="0"/>
        <w:ind w:firstLine="480"/>
        <w:jc w:val="center"/>
        <w:rPr>
          <w:highlight w:val="none"/>
        </w:rPr>
      </w:pPr>
      <w:r>
        <w:rPr>
          <w:rFonts w:ascii="宋体" w:hAnsi="宋体" w:eastAsia="宋体"/>
          <w:sz w:val="24"/>
          <w:szCs w:val="28"/>
        </w:rPr>
        <w:t>杨诺鑫</w:t>
      </w:r>
    </w:p>
    <w:p>
      <w:pPr>
        <w:pStyle w:val="Normal"/>
        <w:spacing w:lineRule="auto" w:line="360" w:before="0" w:after="0"/>
        <w:ind w:firstLine="480"/>
        <w:jc w:val="both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都柏林作为爱尔兰首都，其甜甜圈经济实践从</w:t>
      </w:r>
      <w:r>
        <w:rPr>
          <w:rFonts w:eastAsia="宋体" w:ascii="宋体" w:hAnsi="宋体"/>
          <w:sz w:val="24"/>
          <w:szCs w:val="28"/>
        </w:rPr>
        <w:t>2021</w:t>
      </w:r>
      <w:r>
        <w:rPr>
          <w:rFonts w:ascii="宋体" w:hAnsi="宋体" w:eastAsia="宋体"/>
          <w:sz w:val="24"/>
          <w:szCs w:val="28"/>
        </w:rPr>
        <w:t>年爱尔兰甜甜圈经济网络启动民间活动开始，</w:t>
      </w:r>
      <w:r>
        <w:rPr>
          <w:rFonts w:eastAsia="宋体" w:ascii="宋体" w:hAnsi="宋体"/>
          <w:sz w:val="24"/>
          <w:szCs w:val="28"/>
        </w:rPr>
        <w:t>2022</w:t>
      </w:r>
      <w:r>
        <w:rPr>
          <w:rFonts w:ascii="宋体" w:hAnsi="宋体" w:eastAsia="宋体"/>
          <w:sz w:val="24"/>
          <w:szCs w:val="28"/>
        </w:rPr>
        <w:t>年逐步与城市规划、气候政策结合，呈现出“民间先行、社区扎根”的鲜明特点，没有自上而下的单一政策文件，却形成了一套贴合本地需求的落地路径。</w:t>
      </w:r>
    </w:p>
    <w:p>
      <w:pPr>
        <w:pStyle w:val="Normal"/>
        <w:spacing w:lineRule="auto" w:line="360" w:before="0" w:after="0"/>
        <w:ind w:firstLine="480"/>
        <w:jc w:val="both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在甜甜圈经济的双维框架中，都柏林最核心的社会议题，是住房可负担性危机。根据</w:t>
      </w:r>
      <w:r>
        <w:rPr>
          <w:rFonts w:ascii="Times New Roman" w:hAnsi="Times New Roman" w:cs="Times New Roman" w:eastAsia="宋体"/>
          <w:sz w:val="24"/>
          <w:szCs w:val="28"/>
        </w:rPr>
        <w:t>“</w:t>
      </w:r>
      <w:r>
        <w:rPr>
          <w:rFonts w:eastAsia="宋体" w:cs="Times New Roman" w:ascii="Times New Roman" w:hAnsi="Times New Roman"/>
          <w:sz w:val="24"/>
          <w:szCs w:val="28"/>
        </w:rPr>
        <w:t>How Doughnut Economics Paves the Way for Ireland’s Sustainable Prosperity”</w:t>
      </w:r>
      <w:r>
        <w:rPr>
          <w:rFonts w:ascii="宋体" w:hAnsi="宋体" w:eastAsia="宋体"/>
          <w:sz w:val="24"/>
          <w:szCs w:val="28"/>
        </w:rPr>
        <w:t>的描述，爱尔兰近年住房市场持续失衡，都柏林的房价与租金涨幅远超居民收入增长，大量年轻人和低收入群体面临住房压力，这直接触及了甜甜圈模型中“保障基本居住权”的社会底线。而在</w:t>
      </w:r>
      <w:r>
        <w:rPr>
          <w:rFonts w:eastAsia="宋体" w:ascii="宋体" w:hAnsi="宋体"/>
          <w:sz w:val="24"/>
          <w:szCs w:val="28"/>
        </w:rPr>
        <w:t>IDEN</w:t>
      </w:r>
      <w:r>
        <w:rPr>
          <w:rFonts w:ascii="宋体" w:hAnsi="宋体" w:eastAsia="宋体"/>
          <w:sz w:val="24"/>
          <w:szCs w:val="28"/>
        </w:rPr>
        <w:t>都柏林的社区工作坊里，住房问题也是居民讨论最集中的话题，它不是抽象的公平口号，而是和社区活力、年轻人留城意愿直接挂钩的现实痛点，自然成为实践的核心切入点。</w:t>
      </w:r>
    </w:p>
    <w:p>
      <w:pPr>
        <w:pStyle w:val="Normal"/>
        <w:spacing w:lineRule="auto" w:line="360" w:before="0" w:after="0"/>
        <w:ind w:firstLine="480"/>
        <w:jc w:val="both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生态维度上，气候变化与碳排放控制是都柏林的首要关注对象。</w:t>
      </w:r>
      <w:r>
        <w:rPr>
          <w:rFonts w:eastAsia="宋体" w:ascii="宋体" w:hAnsi="宋体"/>
          <w:sz w:val="24"/>
          <w:szCs w:val="28"/>
        </w:rPr>
        <w:t>"DoughnutEconomicsandClimateActioninIrishCities”</w:t>
      </w:r>
      <w:r>
        <w:rPr>
          <w:rFonts w:ascii="宋体" w:hAnsi="宋体" w:eastAsia="宋体"/>
          <w:sz w:val="24"/>
          <w:szCs w:val="28"/>
        </w:rPr>
        <w:t>报告提到，爱尔兰已立法承诺</w:t>
      </w:r>
      <w:r>
        <w:rPr>
          <w:rFonts w:eastAsia="宋体" w:ascii="宋体" w:hAnsi="宋体"/>
          <w:sz w:val="24"/>
          <w:szCs w:val="28"/>
        </w:rPr>
        <w:t>2050</w:t>
      </w:r>
      <w:r>
        <w:rPr>
          <w:rFonts w:ascii="宋体" w:hAnsi="宋体" w:eastAsia="宋体"/>
          <w:sz w:val="24"/>
          <w:szCs w:val="28"/>
        </w:rPr>
        <w:t>年实现碳中和，而都柏林的交通、建筑能耗贡献了全国相当比例的碳排放。城市蔓延带来的私家车依赖，更推高了交通领域的碳排放量，这让控制碳排放、应对气候变化，成为必须守住的生态上限。这种关注并非单纯的政策响应，也和都柏林自身的发展困境相关——高碳排放带来的环境压力，会反过来影响城市宜居性，加剧社会问题的恶性循环。</w:t>
      </w:r>
    </w:p>
    <w:p>
      <w:pPr>
        <w:pStyle w:val="Normal"/>
        <w:spacing w:lineRule="auto" w:line="360" w:before="0" w:after="0"/>
        <w:ind w:firstLine="480"/>
        <w:jc w:val="both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值得关注的是，都柏林的实践几乎没有涉及“本地改善与外部转移”的讨论，所有行动都聚焦于解决城市自身的问题。这种“向内发力”的路径，让甜甜圈经济从理论变成了社区里的具体行动：从读书会普及理念，到工作坊讨论住房和气候议题，再到推动本地循环经济项目，整个过程都围绕着居民的真实需求展开。这种民间驱动的模式，让可持续发展不再是遥远的政策目标，而是居民可以参与、感知的日常实践。</w:t>
      </w:r>
    </w:p>
    <w:p>
      <w:pPr>
        <w:pStyle w:val="Normal"/>
        <w:spacing w:lineRule="auto" w:line="360" w:before="0" w:after="0"/>
        <w:ind w:firstLine="480"/>
        <w:jc w:val="both"/>
        <w:rPr>
          <w:rFonts w:asciiTheme="minorHAnsi" w:eastAsiaTheme="minorEastAsia" w:hAnsiTheme="minorHAnsi"/>
          <w:highlight w:val="none"/>
          <w14:ligatures w14:val="standardContextual"/>
        </w:rPr>
      </w:pPr>
      <w:r>
        <w:rPr>
          <w:rFonts w:ascii="宋体" w:hAnsi="宋体" w:eastAsiaTheme="minorEastAsia" w:eastAsia="宋体"/>
          <w:sz w:val="24"/>
          <w:szCs w:val="28"/>
          <w14:ligatures w14:val="standardContextual"/>
        </w:rPr>
        <w:t>都柏林的实践给中国城市探索可持续发展路径，提供了不少可参考的思路。首先</w:t>
      </w:r>
      <w:r>
        <w:rPr>
          <w:rFonts w:ascii="宋体" w:hAnsi="宋体" w:eastAsiaTheme="minorEastAsia" w:eastAsia="宋体"/>
          <w:sz w:val="24"/>
          <w:szCs w:val="28"/>
          <w14:ligatures w14:val="standardContextual"/>
        </w:rPr>
        <w:t>，</w:t>
      </w:r>
      <w:r>
        <w:rPr>
          <w:rFonts w:ascii="宋体" w:hAnsi="宋体" w:eastAsiaTheme="minorEastAsia" w:eastAsia="宋体"/>
          <w:sz w:val="24"/>
          <w:szCs w:val="28"/>
          <w14:ligatures w14:val="standardContextual"/>
        </w:rPr>
        <w:t>它证明了“从民生痛点切入”的重要性。甜甜圈经济的核心是平衡社会底线与生态上限，而都柏林的经验显示，只有回应居民最关心的住房、就业这类现实问题，可持续发展的理念才能真正落地，而不是停留在宏观政策文件里。其次，民间组织与社区参与的力量值得重视。中国城市治理中政府角色更为关键，或许可以借鉴都柏林的经验，由政府搭建政策框架、提供资源支持，同时引导社会组织和社区参与，让居民从被动接受者变成主动参与者，推动理念真正走进日常生活。最后，这种“向内发力”的实践模式，也提醒我们在推进本地改善时，要避免把环境和社会成本向外转移，探索真正兼顾公平与可持续的发展方式。</w:t>
      </w:r>
    </w:p>
    <w:p>
      <w:pPr>
        <w:pStyle w:val="Normal"/>
        <w:spacing w:lineRule="auto" w:line="360" w:before="0" w:after="0"/>
        <w:ind w:firstLine="480"/>
        <w:jc w:val="both"/>
        <w:rPr>
          <w:rFonts w:asciiTheme="minorHAnsi" w:eastAsiaTheme="minorEastAsia" w:hAnsiTheme="minorHAnsi"/>
          <w:highlight w:val="none"/>
          <w14:ligatures w14:val="standardContextual"/>
        </w:rPr>
      </w:pPr>
      <w:r>
        <w:rPr>
          <w:rFonts w:ascii="宋体" w:hAnsi="宋体" w:eastAsiaTheme="minorEastAsia" w:eastAsia="宋体"/>
          <w:sz w:val="24"/>
          <w:szCs w:val="28"/>
          <w14:ligatures w14:val="standardContextual"/>
        </w:rPr>
        <w:t xml:space="preserve"> </w:t>
      </w:r>
    </w:p>
    <w:p>
      <w:pPr>
        <w:pStyle w:val="Normal"/>
        <w:spacing w:lineRule="auto" w:line="360" w:before="0" w:after="0"/>
        <w:ind w:firstLine="480"/>
        <w:jc w:val="both"/>
        <w:rPr>
          <w:rFonts w:asciiTheme="minorHAnsi" w:eastAsiaTheme="minorEastAsia" w:hAnsiTheme="minorHAnsi"/>
          <w:highlight w:val="none"/>
          <w14:ligatures w14:val="standardContextual"/>
        </w:rPr>
      </w:pPr>
      <w:r>
        <w:rPr>
          <w:rFonts w:ascii="宋体" w:hAnsi="宋体" w:eastAsiaTheme="minorEastAsia" w:eastAsia="宋体"/>
          <w:sz w:val="24"/>
          <w:szCs w:val="28"/>
          <w14:ligatures w14:val="standardContextual"/>
        </w:rPr>
        <w:t> </w:t>
      </w:r>
    </w:p>
    <w:p>
      <w:pPr>
        <w:pStyle w:val="Normal"/>
        <w:spacing w:lineRule="auto" w:line="360" w:before="0" w:after="0"/>
        <w:ind w:firstLine="480"/>
        <w:jc w:val="both"/>
        <w:rPr>
          <w:rFonts w:asciiTheme="minorHAnsi" w:eastAsiaTheme="minorEastAsia" w:hAnsiTheme="minorHAnsi"/>
          <w:highlight w:val="none"/>
          <w14:ligatures w14:val="standardContextual"/>
        </w:rPr>
      </w:pPr>
      <w:r>
        <w:rPr>
          <w:rFonts w:ascii="宋体" w:hAnsi="宋体" w:eastAsiaTheme="minorEastAsia" w:eastAsia="宋体"/>
          <w:sz w:val="24"/>
          <w:szCs w:val="28"/>
          <w14:ligatures w14:val="standardContextual"/>
        </w:rPr>
        <w:t xml:space="preserve"> </w:t>
      </w:r>
    </w:p>
    <w:p>
      <w:pPr>
        <w:pStyle w:val="Normal"/>
        <w:spacing w:lineRule="auto" w:line="360" w:before="0" w:after="0"/>
        <w:ind w:firstLine="480"/>
        <w:jc w:val="both"/>
        <w:rPr>
          <w:rFonts w:asciiTheme="minorHAnsi" w:eastAsiaTheme="minorEastAsia" w:hAnsiTheme="minorHAnsi"/>
          <w:highlight w:val="none"/>
          <w14:ligatures w14:val="standardContextual"/>
        </w:rPr>
      </w:pPr>
      <w:r>
        <w:rPr>
          <w:rFonts w:ascii="宋体" w:hAnsi="宋体" w:eastAsiaTheme="minorEastAsia" w:eastAsia="宋体"/>
          <w:sz w:val="24"/>
          <w:szCs w:val="28"/>
          <w14:ligatures w14:val="standardContextual"/>
        </w:rPr>
        <w:t>参考文献</w:t>
      </w:r>
    </w:p>
    <w:p>
      <w:pPr>
        <w:pStyle w:val="Normal"/>
        <w:spacing w:lineRule="auto" w:line="360" w:before="0" w:after="0"/>
        <w:ind w:firstLine="480"/>
        <w:jc w:val="both"/>
        <w:rPr>
          <w:rFonts w:asciiTheme="minorHAnsi" w:eastAsiaTheme="minorEastAsia" w:hAnsiTheme="minorHAnsi"/>
          <w:highlight w:val="none"/>
          <w14:ligatures w14:val="standardContextual"/>
        </w:rPr>
      </w:pPr>
      <w:r>
        <w:rPr>
          <w:rFonts w:ascii="宋体" w:hAnsi="宋体" w:eastAsiaTheme="minorEastAsia" w:eastAsia="宋体"/>
          <w:sz w:val="24"/>
          <w:szCs w:val="28"/>
          <w14:ligatures w14:val="standardContextual"/>
        </w:rPr>
        <w:t xml:space="preserve"> </w:t>
      </w:r>
    </w:p>
    <w:p>
      <w:pPr>
        <w:pStyle w:val="Normal"/>
        <w:spacing w:lineRule="auto" w:line="360" w:before="0" w:after="0"/>
        <w:ind w:firstLine="480"/>
        <w:jc w:val="both"/>
        <w:rPr>
          <w:rFonts w:asciiTheme="minorHAnsi" w:eastAsiaTheme="minorEastAsia" w:hAnsiTheme="minorHAnsi"/>
          <w:highlight w:val="none"/>
          <w14:ligatures w14:val="standardContextual"/>
        </w:rPr>
      </w:pPr>
      <w:r>
        <w:rPr>
          <w:rFonts w:eastAsia="宋体" w:ascii="宋体" w:hAnsi="宋体"/>
          <w:sz w:val="24"/>
          <w:szCs w:val="28"/>
          <w14:ligatures w14:val="standardContextual"/>
        </w:rPr>
        <w:t>1. All Ireland Sustainability. (2025). How Doughnut Economics Paves the Way for Ireland’s Sustainable Prosperity. https://www.allirelandsustainability.com/doughnut-economics-ireland/</w:t>
      </w:r>
    </w:p>
    <w:p>
      <w:pPr>
        <w:pStyle w:val="Normal"/>
        <w:spacing w:lineRule="auto" w:line="360" w:before="0" w:after="0"/>
        <w:ind w:firstLine="480"/>
        <w:jc w:val="both"/>
        <w:rPr>
          <w:rFonts w:asciiTheme="minorHAnsi" w:eastAsiaTheme="minorEastAsia" w:hAnsiTheme="minorHAnsi"/>
          <w:highlight w:val="none"/>
          <w14:ligatures w14:val="standardContextual"/>
        </w:rPr>
      </w:pPr>
      <w:r>
        <w:rPr>
          <w:rFonts w:ascii="宋体" w:hAnsi="宋体" w:eastAsiaTheme="minorEastAsia" w:eastAsia="宋体"/>
          <w:sz w:val="24"/>
          <w:szCs w:val="28"/>
          <w14:ligatures w14:val="standardContextual"/>
        </w:rPr>
        <w:t>​</w:t>
      </w:r>
    </w:p>
    <w:p>
      <w:pPr>
        <w:pStyle w:val="Normal"/>
        <w:spacing w:lineRule="auto" w:line="360" w:before="0" w:after="0"/>
        <w:ind w:firstLine="480"/>
        <w:jc w:val="both"/>
        <w:rPr>
          <w:rFonts w:asciiTheme="minorHAnsi" w:eastAsiaTheme="minorEastAsia" w:hAnsiTheme="minorHAnsi"/>
          <w:highlight w:val="none"/>
          <w14:ligatures w14:val="standardContextual"/>
        </w:rPr>
      </w:pPr>
      <w:r>
        <w:rPr>
          <w:rFonts w:eastAsia="宋体" w:ascii="宋体" w:hAnsi="宋体"/>
          <w:sz w:val="24"/>
          <w:szCs w:val="28"/>
          <w14:ligatures w14:val="standardContextual"/>
        </w:rPr>
        <w:t>2</w:t>
      </w:r>
      <w:r>
        <w:rPr>
          <w:rFonts w:eastAsia="宋体" w:ascii="宋体" w:hAnsi="宋体"/>
          <w:sz w:val="24"/>
          <w:szCs w:val="28"/>
          <w14:ligatures w14:val="standardContextual"/>
        </w:rPr>
        <w:t>,</w:t>
      </w:r>
      <w:r>
        <w:rPr>
          <w:rFonts w:eastAsia="宋体" w:ascii="宋体" w:hAnsi="宋体"/>
          <w:sz w:val="24"/>
          <w:szCs w:val="28"/>
          <w14:ligatures w14:val="standardContextual"/>
        </w:rPr>
        <w:t>Dublin City Local Economic and Community Plan 2024 - 2029</w:t>
      </w:r>
    </w:p>
    <w:p>
      <w:pPr>
        <w:pStyle w:val="Normal"/>
        <w:spacing w:lineRule="auto" w:line="360" w:before="0" w:after="0"/>
        <w:ind w:firstLine="480"/>
        <w:jc w:val="both"/>
        <w:rPr>
          <w:rFonts w:asciiTheme="minorHAnsi" w:eastAsiaTheme="minorEastAsia" w:hAnsiTheme="minorHAnsi"/>
          <w:highlight w:val="none"/>
          <w14:ligatures w14:val="standardContextual"/>
        </w:rPr>
      </w:pPr>
      <w:r>
        <w:rPr>
          <w:rFonts w:ascii="宋体" w:hAnsi="宋体" w:eastAsiaTheme="minorEastAsia" w:eastAsia="宋体"/>
          <w:sz w:val="24"/>
          <w:szCs w:val="28"/>
          <w14:ligatures w14:val="standardContextual"/>
        </w:rPr>
        <w:t>​</w:t>
      </w:r>
    </w:p>
    <w:p>
      <w:pPr>
        <w:pStyle w:val="Normal"/>
        <w:spacing w:lineRule="auto" w:line="360" w:before="0" w:after="0"/>
        <w:ind w:firstLine="480"/>
        <w:jc w:val="both"/>
        <w:rPr>
          <w:rFonts w:asciiTheme="minorHAnsi" w:eastAsiaTheme="minorEastAsia" w:hAnsiTheme="minorHAnsi"/>
          <w:highlight w:val="none"/>
          <w14:ligatures w14:val="standardContextual"/>
        </w:rPr>
      </w:pPr>
      <w:r>
        <w:rPr>
          <w:rFonts w:eastAsia="宋体" w:ascii="宋体" w:hAnsi="宋体"/>
          <w:sz w:val="24"/>
          <w:szCs w:val="28"/>
          <w14:ligatures w14:val="standardContextual"/>
        </w:rPr>
        <w:t>3. Doughnut Economics Action Lab (DEAL). (n.d.). Irish Doughnut Economics Network (IDEN) – Dublin Chapter. https://doughnuteconomics.org/organisations-and-networks/irish-doughnut-economics-network</w:t>
      </w:r>
    </w:p>
    <w:p>
      <w:pPr>
        <w:pStyle w:val="Normal"/>
        <w:spacing w:lineRule="auto" w:line="360" w:before="0" w:after="0"/>
        <w:ind w:firstLine="480"/>
        <w:jc w:val="both"/>
        <w:rPr>
          <w:rFonts w:asciiTheme="minorHAnsi" w:eastAsiaTheme="minorEastAsia" w:hAnsiTheme="minorHAnsi"/>
          <w:highlight w:val="none"/>
          <w14:ligatures w14:val="standardContextual"/>
        </w:rPr>
      </w:pPr>
      <w:r>
        <w:rPr>
          <w:rFonts w:ascii="宋体" w:hAnsi="宋体" w:eastAsiaTheme="minorEastAsia" w:eastAsia="宋体"/>
          <w:sz w:val="24"/>
          <w:szCs w:val="28"/>
          <w14:ligatures w14:val="standardContextual"/>
        </w:rPr>
        <w:t>​</w:t>
      </w:r>
    </w:p>
    <w:p>
      <w:pPr>
        <w:pStyle w:val="Normal"/>
        <w:spacing w:lineRule="auto" w:line="360" w:before="0" w:after="0"/>
        <w:ind w:firstLine="480"/>
        <w:jc w:val="both"/>
        <w:rPr>
          <w:rFonts w:asciiTheme="minorHAnsi" w:eastAsiaTheme="minorEastAsia" w:hAnsiTheme="minorHAnsi"/>
          <w:highlight w:val="none"/>
          <w14:ligatures w14:val="standardContextual"/>
        </w:rPr>
      </w:pPr>
      <w:r>
        <w:rPr>
          <w:rFonts w:eastAsia="宋体" w:ascii="宋体" w:hAnsi="宋体"/>
          <w:sz w:val="24"/>
          <w:szCs w:val="28"/>
          <w14:ligatures w14:val="standardContextual"/>
        </w:rPr>
        <w:t>4. McManus, M. (2022). Kate Raworth’s Doughnut Economics: An Irish Urban Perspective (Dublin &amp; Cork). University of Limerick. https://ul.ie/research/doughnut-economics-irish-urban-perspective</w:t>
      </w:r>
      <w:r>
        <w:rPr>
          <w:rFonts w:eastAsia="宋体" w:ascii="宋体" w:hAnsi="宋体"/>
          <w:sz w:val="24"/>
          <w:szCs w:val="28"/>
          <w14:ligatures w14:val="standardContextual"/>
        </w:rPr>
        <w:br/>
        <w:t>5,How Doughnut Economics Paves the Way for Ireland’s Sustainable Prosperity</w:t>
        <w:br/>
        <w:t>https://www.allirelandsustainability.com/doughnut-economics-ireland/</w:t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lines" w:linePitch="312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Noto Sans Mono CJK SC">
    <w:charset w:val="01"/>
    <w:family w:val="roman"/>
    <w:pitch w:val="variable"/>
  </w:font>
  <w:font w:name="等线">
    <w:charset w:val="01"/>
    <w:family w:val="roman"/>
    <w:pitch w:val="variable"/>
  </w:font>
  <w:font w:name="等线 Light">
    <w:charset w:val="01"/>
    <w:family w:val="roman"/>
    <w:pitch w:val="variable"/>
  </w:font>
  <w:font w:name="宋体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420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等线" w:hAnsi="等线" w:eastAsia="notosansmonocjksc" w:cs="notosansmonocjksc" w:asciiTheme="minorHAnsi" w:hAnsiTheme="minorHAns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uto" w:line="276" w:before="0" w:after="160"/>
      <w:jc w:val="left"/>
    </w:pPr>
    <w:rPr>
      <w:rFonts w:ascii="等线" w:hAnsi="等线" w:eastAsia="notosansmonocjksc" w:cs="notosansmonocjksc" w:asciiTheme="minorHAnsi" w:hAnsiTheme="minorHAnsi"/>
      <w:color w:val="auto"/>
      <w:kern w:val="2"/>
      <w:sz w:val="22"/>
      <w:szCs w:val="24"/>
      <w:lang w:val="en-US" w:eastAsia="zh-CN" w:bidi="ar-SA"/>
      <w14:ligatures w14:val="standardContextual"/>
    </w:rPr>
  </w:style>
  <w:style w:type="paragraph" w:styleId="1">
    <w:name w:val="Heading 1"/>
    <w:basedOn w:val="Normal"/>
    <w:next w:val="Normal"/>
    <w:link w:val="11"/>
    <w:uiPriority w:val="9"/>
    <w:qFormat/>
    <w:rsid w:val="00b31665"/>
    <w:pPr>
      <w:keepNext w:val="true"/>
      <w:keepLines/>
      <w:spacing w:before="480" w:after="80"/>
      <w:outlineLvl w:val="0"/>
    </w:pPr>
    <w:rPr>
      <w:rFonts w:ascii="等线 Light" w:hAnsi="等线 Light" w:eastAsia="notosansmonocjksc" w:cs="notosansmonocjksc" w:asciiTheme="majorHAnsi" w:hAnsiTheme="majorHAnsi"/>
      <w:color w:val="2F5496" w:themeColor="accent1" w:themeShade="bf"/>
      <w:sz w:val="48"/>
      <w:szCs w:val="48"/>
    </w:rPr>
  </w:style>
  <w:style w:type="paragraph" w:styleId="2">
    <w:name w:val="Heading 2"/>
    <w:basedOn w:val="Normal"/>
    <w:next w:val="Normal"/>
    <w:link w:val="21"/>
    <w:uiPriority w:val="9"/>
    <w:semiHidden/>
    <w:unhideWhenUsed/>
    <w:qFormat/>
    <w:rsid w:val="00b31665"/>
    <w:pPr>
      <w:keepNext w:val="true"/>
      <w:keepLines/>
      <w:spacing w:before="160" w:after="80"/>
      <w:outlineLvl w:val="1"/>
    </w:pPr>
    <w:rPr>
      <w:rFonts w:ascii="等线 Light" w:hAnsi="等线 Light" w:eastAsia="notosansmonocjksc" w:cs="notosansmonocjksc" w:asciiTheme="majorHAnsi" w:hAnsiTheme="majorHAnsi"/>
      <w:color w:val="2F5496" w:themeColor="accent1" w:themeShade="bf"/>
      <w:sz w:val="40"/>
      <w:szCs w:val="40"/>
    </w:rPr>
  </w:style>
  <w:style w:type="paragraph" w:styleId="3">
    <w:name w:val="Heading 3"/>
    <w:basedOn w:val="Normal"/>
    <w:next w:val="Normal"/>
    <w:link w:val="31"/>
    <w:uiPriority w:val="9"/>
    <w:semiHidden/>
    <w:unhideWhenUsed/>
    <w:qFormat/>
    <w:rsid w:val="00b31665"/>
    <w:pPr>
      <w:keepNext w:val="true"/>
      <w:keepLines/>
      <w:spacing w:before="160" w:after="80"/>
      <w:outlineLvl w:val="2"/>
    </w:pPr>
    <w:rPr>
      <w:rFonts w:ascii="等线 Light" w:hAnsi="等线 Light" w:eastAsia="notosansmonocjksc" w:cs="notosansmonocjksc" w:asciiTheme="majorHAnsi" w:hAnsiTheme="majorHAnsi"/>
      <w:color w:val="2F5496" w:themeColor="accent1" w:themeShade="bf"/>
      <w:sz w:val="32"/>
      <w:szCs w:val="32"/>
    </w:rPr>
  </w:style>
  <w:style w:type="paragraph" w:styleId="4">
    <w:name w:val="Heading 4"/>
    <w:basedOn w:val="Normal"/>
    <w:next w:val="Normal"/>
    <w:link w:val="41"/>
    <w:uiPriority w:val="9"/>
    <w:semiHidden/>
    <w:unhideWhenUsed/>
    <w:qFormat/>
    <w:rsid w:val="00b31665"/>
    <w:pPr>
      <w:keepNext w:val="true"/>
      <w:keepLines/>
      <w:spacing w:before="80" w:after="40"/>
      <w:outlineLvl w:val="3"/>
    </w:pPr>
    <w:rPr>
      <w:rFonts w:cs="notosansmonocjksc"/>
      <w:color w:val="2F5496" w:themeColor="accent1" w:themeShade="bf"/>
      <w:sz w:val="28"/>
      <w:szCs w:val="28"/>
    </w:rPr>
  </w:style>
  <w:style w:type="paragraph" w:styleId="5">
    <w:name w:val="Heading 5"/>
    <w:basedOn w:val="Normal"/>
    <w:next w:val="Normal"/>
    <w:link w:val="51"/>
    <w:uiPriority w:val="9"/>
    <w:semiHidden/>
    <w:unhideWhenUsed/>
    <w:qFormat/>
    <w:rsid w:val="00b31665"/>
    <w:pPr>
      <w:keepNext w:val="true"/>
      <w:keepLines/>
      <w:spacing w:before="80" w:after="40"/>
      <w:outlineLvl w:val="4"/>
    </w:pPr>
    <w:rPr>
      <w:rFonts w:cs="notosansmonocjksc"/>
      <w:color w:val="2F5496" w:themeColor="accent1" w:themeShade="bf"/>
      <w:sz w:val="24"/>
    </w:rPr>
  </w:style>
  <w:style w:type="paragraph" w:styleId="6">
    <w:name w:val="Heading 6"/>
    <w:basedOn w:val="Normal"/>
    <w:next w:val="Normal"/>
    <w:link w:val="61"/>
    <w:uiPriority w:val="9"/>
    <w:semiHidden/>
    <w:unhideWhenUsed/>
    <w:qFormat/>
    <w:rsid w:val="00b31665"/>
    <w:pPr>
      <w:keepNext w:val="true"/>
      <w:keepLines/>
      <w:spacing w:before="40" w:after="0"/>
      <w:outlineLvl w:val="5"/>
    </w:pPr>
    <w:rPr>
      <w:rFonts w:cs="notosansmonocjksc"/>
      <w:b/>
      <w:bCs/>
      <w:color w:val="2F5496" w:themeColor="accent1" w:themeShade="bf"/>
    </w:rPr>
  </w:style>
  <w:style w:type="paragraph" w:styleId="7">
    <w:name w:val="Heading 7"/>
    <w:basedOn w:val="Normal"/>
    <w:next w:val="Normal"/>
    <w:link w:val="71"/>
    <w:uiPriority w:val="9"/>
    <w:semiHidden/>
    <w:unhideWhenUsed/>
    <w:qFormat/>
    <w:rsid w:val="00b31665"/>
    <w:pPr>
      <w:keepNext w:val="true"/>
      <w:keepLines/>
      <w:spacing w:before="40" w:after="0"/>
      <w:outlineLvl w:val="6"/>
    </w:pPr>
    <w:rPr>
      <w:rFonts w:cs="notosansmonocjksc"/>
      <w:b/>
      <w:bCs/>
      <w:color w:val="595959" w:themeColor="text1" w:themeTint="a6"/>
    </w:rPr>
  </w:style>
  <w:style w:type="paragraph" w:styleId="8">
    <w:name w:val="Heading 8"/>
    <w:basedOn w:val="Normal"/>
    <w:next w:val="Normal"/>
    <w:link w:val="81"/>
    <w:uiPriority w:val="9"/>
    <w:semiHidden/>
    <w:unhideWhenUsed/>
    <w:qFormat/>
    <w:rsid w:val="00b31665"/>
    <w:pPr>
      <w:keepNext w:val="true"/>
      <w:keepLines/>
      <w:spacing w:before="0" w:after="0"/>
      <w:outlineLvl w:val="7"/>
    </w:pPr>
    <w:rPr>
      <w:rFonts w:cs="notosansmonocjksc"/>
      <w:color w:val="595959" w:themeColor="text1" w:themeTint="a6"/>
    </w:rPr>
  </w:style>
  <w:style w:type="paragraph" w:styleId="9">
    <w:name w:val="Heading 9"/>
    <w:basedOn w:val="Normal"/>
    <w:next w:val="Normal"/>
    <w:link w:val="91"/>
    <w:uiPriority w:val="9"/>
    <w:semiHidden/>
    <w:unhideWhenUsed/>
    <w:qFormat/>
    <w:rsid w:val="00b31665"/>
    <w:pPr>
      <w:keepNext w:val="true"/>
      <w:keepLines/>
      <w:spacing w:before="0" w:after="0"/>
      <w:outlineLvl w:val="8"/>
    </w:pPr>
    <w:rPr>
      <w:rFonts w:eastAsia="notosansmonocjksc" w:cs="notosansmonocjksc"/>
      <w:color w:val="595959" w:themeColor="text1" w:themeTint="a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标题 1 字符"/>
    <w:basedOn w:val="DefaultParagraphFont"/>
    <w:uiPriority w:val="9"/>
    <w:qFormat/>
    <w:rsid w:val="00b31665"/>
    <w:rPr>
      <w:rFonts w:ascii="等线 Light" w:hAnsi="等线 Light" w:eastAsia="notosansmonocjksc" w:cs="notosansmonocjksc" w:asciiTheme="majorHAnsi" w:hAnsiTheme="majorHAnsi"/>
      <w:color w:val="2F5496" w:themeColor="accent1" w:themeShade="bf"/>
      <w:sz w:val="48"/>
      <w:szCs w:val="48"/>
    </w:rPr>
  </w:style>
  <w:style w:type="character" w:styleId="21" w:customStyle="1">
    <w:name w:val="标题 2 字符"/>
    <w:basedOn w:val="DefaultParagraphFont"/>
    <w:uiPriority w:val="9"/>
    <w:semiHidden/>
    <w:qFormat/>
    <w:rsid w:val="00b31665"/>
    <w:rPr>
      <w:rFonts w:ascii="等线 Light" w:hAnsi="等线 Light" w:eastAsia="notosansmonocjksc" w:cs="notosansmonocjksc" w:asciiTheme="majorHAnsi" w:hAnsiTheme="majorHAnsi"/>
      <w:color w:val="2F5496" w:themeColor="accent1" w:themeShade="bf"/>
      <w:sz w:val="40"/>
      <w:szCs w:val="40"/>
    </w:rPr>
  </w:style>
  <w:style w:type="character" w:styleId="31" w:customStyle="1">
    <w:name w:val="标题 3 字符"/>
    <w:basedOn w:val="DefaultParagraphFont"/>
    <w:uiPriority w:val="9"/>
    <w:semiHidden/>
    <w:qFormat/>
    <w:rsid w:val="00b31665"/>
    <w:rPr>
      <w:rFonts w:ascii="等线 Light" w:hAnsi="等线 Light" w:eastAsia="notosansmonocjksc" w:cs="notosansmonocjksc" w:asciiTheme="majorHAnsi" w:hAnsiTheme="majorHAnsi"/>
      <w:color w:val="2F5496" w:themeColor="accent1" w:themeShade="bf"/>
      <w:sz w:val="32"/>
      <w:szCs w:val="32"/>
    </w:rPr>
  </w:style>
  <w:style w:type="character" w:styleId="41" w:customStyle="1">
    <w:name w:val="标题 4 字符"/>
    <w:basedOn w:val="DefaultParagraphFont"/>
    <w:uiPriority w:val="9"/>
    <w:semiHidden/>
    <w:qFormat/>
    <w:rsid w:val="00b31665"/>
    <w:rPr>
      <w:rFonts w:cs="notosansmonocjksc"/>
      <w:color w:val="2F5496" w:themeColor="accent1" w:themeShade="bf"/>
      <w:sz w:val="28"/>
      <w:szCs w:val="28"/>
    </w:rPr>
  </w:style>
  <w:style w:type="character" w:styleId="51" w:customStyle="1">
    <w:name w:val="标题 5 字符"/>
    <w:basedOn w:val="DefaultParagraphFont"/>
    <w:uiPriority w:val="9"/>
    <w:semiHidden/>
    <w:qFormat/>
    <w:rsid w:val="00b31665"/>
    <w:rPr>
      <w:rFonts w:cs="notosansmonocjksc"/>
      <w:color w:val="2F5496" w:themeColor="accent1" w:themeShade="bf"/>
      <w:sz w:val="24"/>
    </w:rPr>
  </w:style>
  <w:style w:type="character" w:styleId="61" w:customStyle="1">
    <w:name w:val="标题 6 字符"/>
    <w:basedOn w:val="DefaultParagraphFont"/>
    <w:uiPriority w:val="9"/>
    <w:semiHidden/>
    <w:qFormat/>
    <w:rsid w:val="00b31665"/>
    <w:rPr>
      <w:rFonts w:cs="notosansmonocjksc"/>
      <w:b/>
      <w:bCs/>
      <w:color w:val="2F5496" w:themeColor="accent1" w:themeShade="bf"/>
    </w:rPr>
  </w:style>
  <w:style w:type="character" w:styleId="71" w:customStyle="1">
    <w:name w:val="标题 7 字符"/>
    <w:basedOn w:val="DefaultParagraphFont"/>
    <w:uiPriority w:val="9"/>
    <w:semiHidden/>
    <w:qFormat/>
    <w:rsid w:val="00b31665"/>
    <w:rPr>
      <w:rFonts w:cs="notosansmonocjksc"/>
      <w:b/>
      <w:bCs/>
      <w:color w:val="595959" w:themeColor="text1" w:themeTint="a6"/>
    </w:rPr>
  </w:style>
  <w:style w:type="character" w:styleId="81" w:customStyle="1">
    <w:name w:val="标题 8 字符"/>
    <w:basedOn w:val="DefaultParagraphFont"/>
    <w:uiPriority w:val="9"/>
    <w:semiHidden/>
    <w:qFormat/>
    <w:rsid w:val="00b31665"/>
    <w:rPr>
      <w:rFonts w:cs="notosansmonocjksc"/>
      <w:color w:val="595959" w:themeColor="text1" w:themeTint="a6"/>
    </w:rPr>
  </w:style>
  <w:style w:type="character" w:styleId="91" w:customStyle="1">
    <w:name w:val="标题 9 字符"/>
    <w:basedOn w:val="DefaultParagraphFont"/>
    <w:uiPriority w:val="9"/>
    <w:semiHidden/>
    <w:qFormat/>
    <w:rsid w:val="00b31665"/>
    <w:rPr>
      <w:rFonts w:eastAsia="notosansmonocjksc" w:cs="notosansmonocjksc"/>
      <w:color w:val="595959" w:themeColor="text1" w:themeTint="a6"/>
    </w:rPr>
  </w:style>
  <w:style w:type="character" w:styleId="Style5" w:customStyle="1">
    <w:name w:val="标题 字符"/>
    <w:basedOn w:val="DefaultParagraphFont"/>
    <w:uiPriority w:val="10"/>
    <w:qFormat/>
    <w:rsid w:val="00b31665"/>
    <w:rPr>
      <w:rFonts w:ascii="等线 Light" w:hAnsi="等线 Light" w:eastAsia="notosansmonocjksc" w:cs="notosansmonocjksc" w:asciiTheme="majorHAnsi" w:hAnsiTheme="majorHAnsi"/>
      <w:spacing w:val="-10"/>
      <w:kern w:val="2"/>
      <w:sz w:val="56"/>
      <w:szCs w:val="56"/>
    </w:rPr>
  </w:style>
  <w:style w:type="character" w:styleId="Style6" w:customStyle="1">
    <w:name w:val="副标题 字符"/>
    <w:basedOn w:val="DefaultParagraphFont"/>
    <w:uiPriority w:val="11"/>
    <w:qFormat/>
    <w:rsid w:val="00b31665"/>
    <w:rPr>
      <w:rFonts w:ascii="等线 Light" w:hAnsi="等线 Light" w:eastAsia="notosansmonocjksc" w:cs="notosansmonocjksc" w:asciiTheme="majorHAnsi" w:hAnsiTheme="majorHAnsi"/>
      <w:color w:val="595959" w:themeColor="text1" w:themeTint="a6"/>
      <w:spacing w:val="15"/>
      <w:sz w:val="28"/>
      <w:szCs w:val="28"/>
    </w:rPr>
  </w:style>
  <w:style w:type="character" w:styleId="Style7" w:customStyle="1">
    <w:name w:val="引用 字符"/>
    <w:basedOn w:val="DefaultParagraphFont"/>
    <w:link w:val="Quote"/>
    <w:uiPriority w:val="29"/>
    <w:qFormat/>
    <w:rsid w:val="00b31665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31665"/>
    <w:rPr>
      <w:i/>
      <w:iCs/>
      <w:color w:val="2F5496" w:themeColor="accent1" w:themeShade="bf"/>
    </w:rPr>
  </w:style>
  <w:style w:type="character" w:styleId="Style8" w:customStyle="1">
    <w:name w:val="明显引用 字符"/>
    <w:basedOn w:val="DefaultParagraphFont"/>
    <w:link w:val="IntenseQuote"/>
    <w:uiPriority w:val="30"/>
    <w:qFormat/>
    <w:rsid w:val="00b316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1665"/>
    <w:rPr>
      <w:b/>
      <w:bCs/>
      <w:smallCaps/>
      <w:color w:val="2F5496" w:themeColor="accent1" w:themeShade="bf"/>
      <w:spacing w:val="5"/>
    </w:rPr>
  </w:style>
  <w:style w:type="paragraph" w:styleId="Style9">
    <w:name w:val="标题样式"/>
    <w:basedOn w:val="Normal"/>
    <w:next w:val="Style10"/>
    <w:qFormat/>
    <w:pPr>
      <w:keepNext w:val="true"/>
      <w:spacing w:before="240" w:after="120"/>
    </w:pPr>
    <w:rPr>
      <w:rFonts w:ascii="Noto Sans Mono CJK SC" w:hAnsi="Noto Sans Mono CJK SC" w:eastAsia="Noto Sans Mono CJK SC" w:cs="Noto Sans Mono CJK SC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/>
  </w:style>
  <w:style w:type="paragraph" w:styleId="Style12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索引"/>
    <w:basedOn w:val="Normal"/>
    <w:qFormat/>
    <w:pPr>
      <w:suppressLineNumbers/>
    </w:pPr>
    <w:rPr>
      <w:lang w:val="zxx" w:eastAsia="zxx" w:bidi="zxx"/>
    </w:rPr>
  </w:style>
  <w:style w:type="paragraph" w:styleId="Style14">
    <w:name w:val="Title"/>
    <w:basedOn w:val="Normal"/>
    <w:next w:val="Normal"/>
    <w:link w:val="Style5"/>
    <w:uiPriority w:val="10"/>
    <w:qFormat/>
    <w:rsid w:val="00b31665"/>
    <w:pPr>
      <w:spacing w:lineRule="auto" w:line="240" w:before="0" w:after="80"/>
      <w:contextualSpacing/>
      <w:jc w:val="center"/>
    </w:pPr>
    <w:rPr>
      <w:rFonts w:ascii="等线 Light" w:hAnsi="等线 Light" w:eastAsia="notosansmonocjksc" w:cs="notosansmonocjksc" w:asciiTheme="majorHAnsi" w:hAnsiTheme="majorHAnsi"/>
      <w:spacing w:val="-10"/>
      <w:kern w:val="2"/>
      <w:sz w:val="56"/>
      <w:szCs w:val="56"/>
    </w:rPr>
  </w:style>
  <w:style w:type="paragraph" w:styleId="Style15">
    <w:name w:val="Subtitle"/>
    <w:basedOn w:val="Normal"/>
    <w:next w:val="Normal"/>
    <w:link w:val="Style6"/>
    <w:uiPriority w:val="11"/>
    <w:qFormat/>
    <w:rsid w:val="00b31665"/>
    <w:pPr>
      <w:jc w:val="center"/>
    </w:pPr>
    <w:rPr>
      <w:rFonts w:ascii="等线 Light" w:hAnsi="等线 Light" w:eastAsia="notosansmonocjksc" w:cs="notosansmonocjksc" w:asciiTheme="majorHAnsi" w:hAnsiTheme="majorHAns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Style7"/>
    <w:uiPriority w:val="29"/>
    <w:qFormat/>
    <w:rsid w:val="00b31665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1665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Style8"/>
    <w:uiPriority w:val="30"/>
    <w:qFormat/>
    <w:rsid w:val="00b31665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LibreOfficeDev/7.3.1.3.0$Android_AARCH64 LibreOffice_project/</Application>
  <AppVersion>15.0000</AppVersion>
  <Pages>2</Pages>
  <Words>1098</Words>
  <Characters>1849</Characters>
  <CharactersWithSpaces>1933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2026-05-09T11:35:00Z</dcterms:created>
  <dc:creator>NUOXIN Yang</dc:creator>
  <dc:description/>
  <dc:language>zh-CN</dc:language>
  <cp:lastModifiedBy/>
  <dcterms:modified xsi:type="dcterms:W3CDTF">2026-05-11T11:05:20Z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